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23706E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23706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72E44910" w:rsidR="00BC003C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Miklošková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23706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3BB95D1" w:rsidR="00BC003C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Monika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23706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784356D" w:rsidR="00BC003C" w:rsidRPr="007E1DDE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doc. PhDr.</w:t>
            </w:r>
            <w:r w:rsidR="003A08DB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23706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47E3DFB5" w:rsidR="00BC003C" w:rsidRPr="00564F3D" w:rsidRDefault="009C7B10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C7B10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https://www.portalvs.sk/regzam/detail/23197?mode=full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23706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23706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6034DBC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202</w:t>
            </w:r>
            <w:r w:rsidR="006B6F59">
              <w:rPr>
                <w:sz w:val="16"/>
                <w:szCs w:val="16"/>
              </w:rPr>
              <w:t>0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23706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2E421D4F" w:rsidR="00BC003C" w:rsidRPr="008444EF" w:rsidRDefault="00C10417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210284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23706E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71B6A8E2" w:rsidR="00BC003C" w:rsidRPr="00E31F09" w:rsidRDefault="002717F1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2717F1">
              <w:rPr>
                <w:rFonts w:ascii="Calibri" w:hAnsi="Calibri" w:cs="Calibri"/>
                <w:sz w:val="16"/>
                <w:szCs w:val="16"/>
              </w:rPr>
              <w:t>https://app.crepc.sk/?fn=detailBiblioFormChildQ9032&amp;sid=D7A3109A15EDA5932CCD7CB056&amp;seo=CREP%C4%8C-detail-%C4%8Cl%C3%A1nok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360F7F72" w:rsidR="00BC003C" w:rsidRPr="00E31F09" w:rsidRDefault="007069D6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7069D6">
              <w:rPr>
                <w:rFonts w:ascii="Calibri" w:hAnsi="Calibri" w:cs="Calibri"/>
                <w:sz w:val="16"/>
                <w:szCs w:val="16"/>
              </w:rPr>
              <w:t>https://www.lekarsky.herba.sk/index.php/2020/280-lekarsky-obzor-5-2020/887-the-outcomes-of-the-longitudinal-research-dealing-with-the-development-of-situation-of-vulnerable-families-at-risk-in-slovakia-2006-2016-challenge-for-the-multidisciplinary-strategy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9C65A8" w14:textId="77777777" w:rsidR="00C10417" w:rsidRPr="00C10417" w:rsidRDefault="00C10417" w:rsidP="00C1041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outcomes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longitudinal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research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dealing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development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situation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vulnerable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families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at risk in Slovakia 2006-2016-challenge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multidisciplinary</w:t>
            </w:r>
            <w:proofErr w:type="spellEnd"/>
          </w:p>
          <w:p w14:paraId="03F4AAE9" w14:textId="77777777" w:rsidR="00C10417" w:rsidRPr="00C10417" w:rsidRDefault="00C10417" w:rsidP="00C1041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strategy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Miklošková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20%] ;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Mikloško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, Jozef [Autor, 20%] ;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Feranc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, Miroslav [Autor, 20%] ;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Herák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, Ján [Autor, 20%] ; Bezáková, Emília [Autor, 20%]. – SCO</w:t>
            </w:r>
          </w:p>
          <w:p w14:paraId="5C4D6E0E" w14:textId="77777777" w:rsidR="00C10417" w:rsidRPr="00C10417" w:rsidRDefault="00C10417" w:rsidP="00C1041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In: Lekársky obzor [textový dokument (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Herba</w:t>
            </w:r>
            <w:proofErr w:type="spellEnd"/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, Bratislava (Slovensko) :</w:t>
            </w:r>
          </w:p>
          <w:p w14:paraId="359CE336" w14:textId="2183FEE2" w:rsidR="00BC003C" w:rsidRPr="00271EC9" w:rsidRDefault="00C10417" w:rsidP="00C10417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10417">
              <w:rPr>
                <w:rFonts w:asciiTheme="minorHAnsi" w:hAnsiTheme="minorHAnsi" w:cstheme="minorHAnsi"/>
                <w:sz w:val="16"/>
                <w:szCs w:val="16"/>
              </w:rPr>
              <w:t>Slovenská zdravotnícka univerzita v Bratislave. – ISSN 0457-4214. – ISSN (zrušené) 0322-9203. – Roč. 69, č. 5 (2020), 173-176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3AAAEC8" w:rsidR="00BC003C" w:rsidRPr="00714638" w:rsidRDefault="009A0093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V3 (AD</w:t>
            </w:r>
            <w:r w:rsidR="00DE32A3">
              <w:rPr>
                <w:rFonts w:ascii="Calibri" w:hAnsi="Calibri" w:cs="Calibri"/>
                <w:color w:val="000000"/>
                <w:sz w:val="16"/>
                <w:szCs w:val="16"/>
              </w:rPr>
              <w:t>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r w:rsidR="007C3FF6">
              <w:rPr>
                <w:rFonts w:ascii="Calibri" w:hAnsi="Calibri" w:cs="Calibri"/>
                <w:color w:val="000000"/>
                <w:sz w:val="16"/>
                <w:szCs w:val="16"/>
              </w:rPr>
              <w:t>Domáci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ký karentovaný príspevok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08DD1FA7" w:rsidR="00500888" w:rsidRPr="00616CCE" w:rsidRDefault="00500888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3512177F" w:rsidR="00500888" w:rsidRDefault="007069D6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23706E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56EE0D" w14:textId="77777777" w:rsidR="001D1B79" w:rsidRPr="001D1B79" w:rsidRDefault="001D1B79" w:rsidP="001D1B79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Pozadie: </w:t>
            </w:r>
            <w:proofErr w:type="spellStart"/>
            <w:r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Longitudinálny</w:t>
            </w:r>
            <w:proofErr w:type="spellEnd"/>
            <w:r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výskum zaoberajúci sa vývojom situácie ohrozených rodín na Slovensku v rokoch 2006-2016, ktorý prostredníctvom sociálnych pracovníkov oddelení sociálnoprávnej ochrany detí a sociálnej kurately jednotlivých úradov zhrnul fakty o 2906 deťoch vyňatých z rodín v danom období, potvrdzuje skutočnosť, že 56 % detí by nebolo vyňatých z rodiny, resp. by sa mohli vrátiť do svojho prirodzeného prostredia, ak by im bola poskytnutá adekvátna podpora rodiny. Je pre nás výzvou zaoberať sa touto kritickou skutočnosťou v multidisciplinárnom kontexte.</w:t>
            </w:r>
          </w:p>
          <w:p w14:paraId="19584530" w14:textId="77777777" w:rsidR="001D1B79" w:rsidRPr="001D1B79" w:rsidRDefault="001D1B79" w:rsidP="001D1B79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Metódy: Článok sumarizuje výstupy výskumu Ohrozená rodina, ktorý sa od roku 2006 do roku 2016 zameriava na vývoj situácie ohrozených rodín na celom Slovensku.</w:t>
            </w:r>
          </w:p>
          <w:p w14:paraId="6A62FEAD" w14:textId="77777777" w:rsidR="001D1B79" w:rsidRPr="001D1B79" w:rsidRDefault="001D1B79" w:rsidP="001D1B79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Výsledky: Analýza príčin umiestňovania detí mimo rodinu je základom pre hľadanie adekvátnych riešení v danej oblasti, ktoré by viedli k zníženiu počtu rodín v systéme sociálno-právnej ochrany a k nastaveniu efektívnejších procesov reflektujúcich potreby rodín tak, aby sa predišlo umiestňovaniu detí mimo rodinu a dlhodobej inštitucionálnej starostlivosti v dnešnej </w:t>
            </w:r>
            <w:proofErr w:type="spellStart"/>
            <w:r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extenzite</w:t>
            </w:r>
            <w:proofErr w:type="spellEnd"/>
            <w:r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  <w:p w14:paraId="5334AAFC" w14:textId="72D1348C" w:rsidR="00500888" w:rsidRPr="00822F94" w:rsidRDefault="001D1B79" w:rsidP="001D1B79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D1B7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Kľúčové slová: Rodiny v ohrození, príčiny umiestnenia mimo domova, úloha pripútanosti vo vývoji dieťaťa.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23706E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00EB4F" w14:textId="77777777" w:rsidR="007069D6" w:rsidRPr="001D1B79" w:rsidRDefault="007069D6" w:rsidP="007069D6">
            <w:pPr>
              <w:pStyle w:val="Normlnywebov"/>
              <w:shd w:val="clear" w:color="auto" w:fill="FFFFFF"/>
              <w:spacing w:before="0" w:beforeAutospacing="0" w:after="128" w:afterAutospacing="0"/>
              <w:jc w:val="both"/>
              <w:rPr>
                <w:rFonts w:asciiTheme="minorHAnsi" w:hAnsiTheme="minorHAnsi" w:cstheme="minorHAnsi"/>
                <w:color w:val="444444"/>
                <w:sz w:val="16"/>
                <w:szCs w:val="16"/>
              </w:rPr>
            </w:pPr>
            <w:proofErr w:type="spellStart"/>
            <w:r w:rsidRPr="001D1B79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</w:rPr>
              <w:t>Background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: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longitudinal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research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dealing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with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development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situation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vulnerable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families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in Slovakia 2006-2016 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which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through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social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workers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department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social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protection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individual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 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social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services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summarized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facts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about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2,906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children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taken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 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out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their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families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within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given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period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reaffirms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fact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that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56%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children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would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not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have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been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removed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from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family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, or as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case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may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be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could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have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returned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  to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their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natural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environment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if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provided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with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adequate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family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support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.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are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challenged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to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deal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with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this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critical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fact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in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multidisciplinary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context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.</w:t>
            </w:r>
          </w:p>
          <w:p w14:paraId="62502D6F" w14:textId="0ADFE952" w:rsidR="007069D6" w:rsidRPr="001D1B79" w:rsidRDefault="007069D6" w:rsidP="007069D6">
            <w:pPr>
              <w:pStyle w:val="Normlnywebov"/>
              <w:shd w:val="clear" w:color="auto" w:fill="FFFFFF"/>
              <w:spacing w:before="0" w:beforeAutospacing="0" w:after="128" w:afterAutospacing="0"/>
              <w:jc w:val="both"/>
              <w:rPr>
                <w:rFonts w:asciiTheme="minorHAnsi" w:hAnsiTheme="minorHAnsi" w:cstheme="minorHAnsi"/>
                <w:color w:val="444444"/>
                <w:sz w:val="16"/>
                <w:szCs w:val="16"/>
              </w:rPr>
            </w:pPr>
            <w:proofErr w:type="spellStart"/>
            <w:r w:rsidRPr="001D1B79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</w:rPr>
              <w:t>Methods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: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article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sumarizes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outcomes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research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Family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at risk,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which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since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year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2006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till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2016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focuses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on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development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situation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families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at risk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all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over Slovakia.</w:t>
            </w:r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br/>
            </w:r>
            <w:proofErr w:type="spellStart"/>
            <w:r w:rsidRPr="001D1B79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</w:rPr>
              <w:t>Results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: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analysis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reasons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out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home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placements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is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basis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for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searching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adequate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solutions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in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particular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area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who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would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lead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into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dicreasing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number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families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in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social-legal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protection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system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and 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would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lead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to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setting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more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effective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processes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reflecting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needs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families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, so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that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prevent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out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home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placement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longterm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institutional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care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for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children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in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nowaday´s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extensity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.</w:t>
            </w:r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br/>
            </w:r>
            <w:proofErr w:type="spellStart"/>
            <w:r w:rsidRPr="001D1B79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</w:rPr>
              <w:t>Key</w:t>
            </w:r>
            <w:proofErr w:type="spellEnd"/>
            <w:r w:rsidRPr="001D1B79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</w:rPr>
              <w:t>words</w:t>
            </w:r>
            <w:proofErr w:type="spellEnd"/>
            <w:r w:rsidRPr="001D1B79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</w:rPr>
              <w:t>:</w:t>
            </w:r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 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Families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at risk,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reasons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out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home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placement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role of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attachment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in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the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child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development</w:t>
            </w:r>
            <w:proofErr w:type="spellEnd"/>
            <w:r w:rsidRPr="001D1B79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t>.</w:t>
            </w:r>
          </w:p>
          <w:p w14:paraId="255DE05A" w14:textId="5E5B6A11" w:rsidR="00500888" w:rsidRPr="0091227A" w:rsidRDefault="00500888" w:rsidP="0071463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33D08683" w:rsidR="00500888" w:rsidRPr="009C7963" w:rsidRDefault="00F643EC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Publikácia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 použiteľná pre potreby celého spektra spoločenských subjektov, ktoré pracujú s deťmi. . M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á </w:t>
            </w:r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význam pre štátnu správu, samosprávu, zamestnávateľov v sociálnej práci, organizácie poskytujúce sociálne služby, pracoviská praxe, </w:t>
            </w:r>
            <w:proofErr w:type="spellStart"/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profesné</w:t>
            </w:r>
            <w:proofErr w:type="spellEnd"/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organizácie, vzdelávacie inštitúcie, mimovládne organizácie pôsobiace v oblasti sociálnych služieb, pre absolventov sociálnej práce, partnerov nášho VŠ  pracoviska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, ktorí pôsobia v oblasti sociálnej kurately alebo akokoľvek sa podieľajú na práci s deťmi.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publication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applicable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needs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entire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spectrum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entities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.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state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administration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local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government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employers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providing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educational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institutions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non-governmental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operating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graduates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partners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university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tutors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in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any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way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participate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working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F643E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51FDFDD7" w:rsidR="00616CCE" w:rsidRDefault="00F643EC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Publikácia má význam pre študentov sociálnej práce a môže byť využitá vo vyučovacom procese. 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pracuje s poznatkami, využiteľnými na viacerých  predmetoch študijného programu sociálna práca, ako sú </w:t>
            </w:r>
            <w:r w:rsidRPr="007D5BF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sociálna prevencia, sociálna práca a sociálna kuratela, sociálna práca s osobami so sociálno-ekonomickými problémami. Publikácia má tiež parciálny význam pre predmety </w:t>
            </w:r>
            <w:r w:rsidRPr="007D5BF4">
              <w:rPr>
                <w:rFonts w:cstheme="minorHAnsi"/>
                <w:color w:val="000000"/>
                <w:sz w:val="16"/>
                <w:szCs w:val="16"/>
              </w:rPr>
              <w:t>teória sociálnej práce, základy sociálnej práce, metódy sociálnej práce</w:t>
            </w:r>
            <w:r>
              <w:rPr>
                <w:rFonts w:cstheme="minorHAnsi"/>
                <w:color w:val="000000"/>
                <w:sz w:val="16"/>
                <w:szCs w:val="16"/>
              </w:rPr>
              <w:t>, sociálna práca v neziskovom sektore, supervízia v sociálnej práci, sociálne poradenstvo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. /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is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important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for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students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can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be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used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teaching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process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knowledge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that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can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be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used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several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subjects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study program,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such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prevention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tutoring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persons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socio-economic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problems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is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also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partial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importance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for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subjects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theory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basics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methods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non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-profit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sector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supervision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643EC">
              <w:rPr>
                <w:rFonts w:cstheme="minorHAnsi"/>
                <w:color w:val="000000"/>
                <w:sz w:val="16"/>
                <w:szCs w:val="16"/>
              </w:rPr>
              <w:t>counseling</w:t>
            </w:r>
            <w:proofErr w:type="spellEnd"/>
            <w:r w:rsidRPr="00F643EC">
              <w:rPr>
                <w:rFonts w:cstheme="minorHAnsi"/>
                <w:color w:val="000000"/>
                <w:sz w:val="16"/>
                <w:szCs w:val="16"/>
              </w:rPr>
              <w:t>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515AD"/>
    <w:rsid w:val="000D2ACA"/>
    <w:rsid w:val="000F534B"/>
    <w:rsid w:val="00131F27"/>
    <w:rsid w:val="00132549"/>
    <w:rsid w:val="001655DD"/>
    <w:rsid w:val="00166F0A"/>
    <w:rsid w:val="001D1B79"/>
    <w:rsid w:val="001D22E5"/>
    <w:rsid w:val="0022690C"/>
    <w:rsid w:val="00233BF3"/>
    <w:rsid w:val="002717F1"/>
    <w:rsid w:val="00271EC9"/>
    <w:rsid w:val="002D0FC2"/>
    <w:rsid w:val="003A08DB"/>
    <w:rsid w:val="00420578"/>
    <w:rsid w:val="00452B2C"/>
    <w:rsid w:val="00463824"/>
    <w:rsid w:val="004F74B4"/>
    <w:rsid w:val="00500888"/>
    <w:rsid w:val="005305EF"/>
    <w:rsid w:val="00564F3D"/>
    <w:rsid w:val="005A263D"/>
    <w:rsid w:val="005B3F95"/>
    <w:rsid w:val="00616CCE"/>
    <w:rsid w:val="006B6F59"/>
    <w:rsid w:val="006E4146"/>
    <w:rsid w:val="007069D6"/>
    <w:rsid w:val="00714638"/>
    <w:rsid w:val="007C0CBC"/>
    <w:rsid w:val="007C3FF6"/>
    <w:rsid w:val="00802C05"/>
    <w:rsid w:val="00822F94"/>
    <w:rsid w:val="008444EF"/>
    <w:rsid w:val="00861BA5"/>
    <w:rsid w:val="008A2B23"/>
    <w:rsid w:val="008B210B"/>
    <w:rsid w:val="0091227A"/>
    <w:rsid w:val="00921ED0"/>
    <w:rsid w:val="0092515C"/>
    <w:rsid w:val="009253E4"/>
    <w:rsid w:val="009A0093"/>
    <w:rsid w:val="009C7B10"/>
    <w:rsid w:val="00A00A40"/>
    <w:rsid w:val="00A73269"/>
    <w:rsid w:val="00AD4D4C"/>
    <w:rsid w:val="00B17BA2"/>
    <w:rsid w:val="00B53689"/>
    <w:rsid w:val="00BC003C"/>
    <w:rsid w:val="00BC0D2D"/>
    <w:rsid w:val="00C04A09"/>
    <w:rsid w:val="00C10417"/>
    <w:rsid w:val="00D32FD5"/>
    <w:rsid w:val="00D564C9"/>
    <w:rsid w:val="00D6022E"/>
    <w:rsid w:val="00DC514B"/>
    <w:rsid w:val="00DE32A3"/>
    <w:rsid w:val="00E468E2"/>
    <w:rsid w:val="00E67EF2"/>
    <w:rsid w:val="00F20171"/>
    <w:rsid w:val="00F50869"/>
    <w:rsid w:val="00F56B32"/>
    <w:rsid w:val="00F643EC"/>
    <w:rsid w:val="00F658DD"/>
    <w:rsid w:val="00FA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  <w:style w:type="paragraph" w:styleId="Normlnywebov">
    <w:name w:val="Normal (Web)"/>
    <w:basedOn w:val="Normlny"/>
    <w:uiPriority w:val="99"/>
    <w:semiHidden/>
    <w:unhideWhenUsed/>
    <w:rsid w:val="007069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1732</Words>
  <Characters>9878</Characters>
  <Application>Microsoft Office Word</Application>
  <DocSecurity>4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2</cp:revision>
  <dcterms:created xsi:type="dcterms:W3CDTF">2024-02-06T16:11:00Z</dcterms:created>
  <dcterms:modified xsi:type="dcterms:W3CDTF">2024-02-06T16:11:00Z</dcterms:modified>
</cp:coreProperties>
</file>